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0564" w:type="dxa"/>
        <w:tblInd w:w="-5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88"/>
        <w:gridCol w:w="3874"/>
        <w:gridCol w:w="10702"/>
      </w:tblGrid>
      <w:tr w:rsidR="008C29CC" w14:paraId="39EC6042" w14:textId="77777777" w:rsidTr="007F685C">
        <w:trPr>
          <w:trHeight w:val="431"/>
        </w:trPr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0B92A" w14:textId="77777777" w:rsidR="008C29CC" w:rsidRDefault="008C29CC" w:rsidP="009E0546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Affidamento sotto soglia (art. 1)</w:t>
            </w: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C257E" w14:textId="77777777" w:rsidR="008C29CC" w:rsidRDefault="008C29CC" w:rsidP="009E0546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Procedura fino al 31.12.2021</w:t>
            </w:r>
          </w:p>
        </w:tc>
        <w:tc>
          <w:tcPr>
            <w:tcW w:w="10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75D8B" w14:textId="77777777" w:rsidR="008C29CC" w:rsidRDefault="008C29CC" w:rsidP="009E0546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note</w:t>
            </w:r>
          </w:p>
        </w:tc>
      </w:tr>
      <w:tr w:rsidR="008C29CC" w14:paraId="354D7538" w14:textId="77777777" w:rsidTr="007F685C">
        <w:trPr>
          <w:trHeight w:val="2774"/>
        </w:trPr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97BF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lavori &lt; 150.000</w:t>
            </w:r>
          </w:p>
          <w:p w14:paraId="6F0B5712" w14:textId="77777777" w:rsidR="008C29CC" w:rsidRDefault="008C29CC" w:rsidP="008C29CC">
            <w:pPr>
              <w:pStyle w:val="Standard"/>
              <w:ind w:left="142" w:hanging="7"/>
              <w:rPr>
                <w:rFonts w:cs="Times New Roman"/>
              </w:rPr>
            </w:pPr>
            <w:r>
              <w:rPr>
                <w:rFonts w:cs="Times New Roman"/>
              </w:rPr>
              <w:t>servizi/forniture/servizi ingegneria, architettura e progettazione &lt; 75.000 (co. 2)</w:t>
            </w: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1841D4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Affidamento diretto</w:t>
            </w:r>
          </w:p>
        </w:tc>
        <w:tc>
          <w:tcPr>
            <w:tcW w:w="10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23842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aggiudicazione entro 2 mesi</w:t>
            </w:r>
          </w:p>
          <w:p w14:paraId="7C55186F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no </w:t>
            </w:r>
            <w:proofErr w:type="spellStart"/>
            <w:r>
              <w:rPr>
                <w:rFonts w:cs="Times New Roman"/>
              </w:rPr>
              <w:t>pubblicaz</w:t>
            </w:r>
            <w:proofErr w:type="spellEnd"/>
            <w:r>
              <w:rPr>
                <w:rFonts w:cs="Times New Roman"/>
              </w:rPr>
              <w:t xml:space="preserve">. avviso </w:t>
            </w:r>
            <w:proofErr w:type="spellStart"/>
            <w:r>
              <w:rPr>
                <w:rFonts w:cs="Times New Roman"/>
              </w:rPr>
              <w:t>aggiudicaz</w:t>
            </w:r>
            <w:proofErr w:type="spellEnd"/>
            <w:r>
              <w:rPr>
                <w:rFonts w:cs="Times New Roman"/>
              </w:rPr>
              <w:t>. per appalti &lt; 40.000</w:t>
            </w:r>
          </w:p>
          <w:p w14:paraId="67976012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facoltà no cauzione provvisoria; se richiesta, è all’1%</w:t>
            </w:r>
          </w:p>
        </w:tc>
      </w:tr>
      <w:tr w:rsidR="008C29CC" w14:paraId="3FAF254C" w14:textId="77777777" w:rsidTr="007F685C">
        <w:trPr>
          <w:trHeight w:val="3260"/>
        </w:trPr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6C7A6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bookmarkStart w:id="0" w:name="_Hlk50739209"/>
            <w:r>
              <w:rPr>
                <w:rFonts w:cs="Times New Roman"/>
              </w:rPr>
              <w:t>Lavori ≥ 150.000 e &lt; 350.000</w:t>
            </w:r>
          </w:p>
          <w:p w14:paraId="6E761121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servizi/forniture/servizi ingegneria, architettura  e progettazione ≥ 75.000 e &lt; soglie (co. 2)</w:t>
            </w: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7C197F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Negoz</w:t>
            </w:r>
            <w:proofErr w:type="spellEnd"/>
            <w:r>
              <w:rPr>
                <w:rFonts w:cs="Times New Roman"/>
              </w:rPr>
              <w:t>. art. 63, previa consultazione 5 OE</w:t>
            </w:r>
          </w:p>
        </w:tc>
        <w:tc>
          <w:tcPr>
            <w:tcW w:w="10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AF661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aggiudicazione entro 4 mesi</w:t>
            </w:r>
          </w:p>
          <w:p w14:paraId="29FAA787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pubblicaz</w:t>
            </w:r>
            <w:proofErr w:type="spellEnd"/>
            <w:r>
              <w:rPr>
                <w:rFonts w:cs="Times New Roman"/>
              </w:rPr>
              <w:t xml:space="preserve">. su sito avviso di gara e avviso </w:t>
            </w:r>
            <w:proofErr w:type="spellStart"/>
            <w:r>
              <w:rPr>
                <w:rFonts w:cs="Times New Roman"/>
              </w:rPr>
              <w:t>aggiugicaz</w:t>
            </w:r>
            <w:proofErr w:type="spellEnd"/>
            <w:r>
              <w:rPr>
                <w:rFonts w:cs="Times New Roman"/>
              </w:rPr>
              <w:t>. con indicazione OE invitati</w:t>
            </w:r>
          </w:p>
          <w:p w14:paraId="0FF9BA0A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rotazione e diversa territorialità OE invitati</w:t>
            </w:r>
          </w:p>
          <w:p w14:paraId="7A62DCDC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attenzione scelta criteri aggiudicazione</w:t>
            </w:r>
          </w:p>
          <w:p w14:paraId="3DBFCBD9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per PB, obbligo esclusione automatica se offerte ammesse ≥ 5</w:t>
            </w:r>
          </w:p>
          <w:p w14:paraId="01FC1B47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facoltà no cauzione provvisoria; se richiesta, è all’1%</w:t>
            </w:r>
          </w:p>
        </w:tc>
      </w:tr>
      <w:tr w:rsidR="008C29CC" w14:paraId="78BB0B4C" w14:textId="77777777" w:rsidTr="007F685C">
        <w:trPr>
          <w:trHeight w:val="4434"/>
        </w:trPr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6986C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bookmarkStart w:id="1" w:name="_Hlk50739308"/>
            <w:bookmarkEnd w:id="0"/>
            <w:r>
              <w:rPr>
                <w:rFonts w:cs="Times New Roman"/>
              </w:rPr>
              <w:t>Lavori ≥ 350.000 e &lt; 1.000.000 (co. 2)</w:t>
            </w:r>
          </w:p>
          <w:p w14:paraId="72824079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0489D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Negoz</w:t>
            </w:r>
            <w:proofErr w:type="spellEnd"/>
            <w:r>
              <w:rPr>
                <w:rFonts w:cs="Times New Roman"/>
              </w:rPr>
              <w:t>. art. 63, previa consultazione 10 OE</w:t>
            </w:r>
          </w:p>
        </w:tc>
        <w:tc>
          <w:tcPr>
            <w:tcW w:w="10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E5CD1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aggiudicazione entro 4 mesi</w:t>
            </w:r>
          </w:p>
          <w:p w14:paraId="41DB9717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pubblicaz</w:t>
            </w:r>
            <w:proofErr w:type="spellEnd"/>
            <w:r>
              <w:rPr>
                <w:rFonts w:cs="Times New Roman"/>
              </w:rPr>
              <w:t xml:space="preserve">. su sito avviso di gara e avviso </w:t>
            </w:r>
            <w:proofErr w:type="spellStart"/>
            <w:r>
              <w:rPr>
                <w:rFonts w:cs="Times New Roman"/>
              </w:rPr>
              <w:t>aggiugicaz</w:t>
            </w:r>
            <w:proofErr w:type="spellEnd"/>
            <w:r>
              <w:rPr>
                <w:rFonts w:cs="Times New Roman"/>
              </w:rPr>
              <w:t>. con indicazione OE invitati</w:t>
            </w:r>
          </w:p>
          <w:p w14:paraId="20402D0B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rotazione e diversa territorialità OE invitati</w:t>
            </w:r>
          </w:p>
          <w:p w14:paraId="590CB0BF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attenzione  scelta criteri aggiudicazione</w:t>
            </w:r>
          </w:p>
          <w:p w14:paraId="56E5809A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per PB,  obbligo esclusione automatica se offerte ammesse ≥ 5</w:t>
            </w:r>
          </w:p>
          <w:p w14:paraId="3D837F65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facoltà no cauzione provvisoria; se richiesta, è all’1%</w:t>
            </w:r>
          </w:p>
        </w:tc>
      </w:tr>
      <w:bookmarkEnd w:id="1"/>
      <w:tr w:rsidR="008C29CC" w14:paraId="040A1BAE" w14:textId="77777777" w:rsidTr="007F685C">
        <w:trPr>
          <w:trHeight w:val="3250"/>
        </w:trPr>
        <w:tc>
          <w:tcPr>
            <w:tcW w:w="5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D58FF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Lavori ≥ 1.000.000 e &lt; soglie (co. 2)</w:t>
            </w:r>
          </w:p>
          <w:p w14:paraId="273C082E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</w:p>
        </w:tc>
        <w:tc>
          <w:tcPr>
            <w:tcW w:w="3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128282" w14:textId="77777777" w:rsidR="008C29CC" w:rsidRDefault="008C29CC" w:rsidP="009E0546">
            <w:pPr>
              <w:pStyle w:val="Standard"/>
              <w:ind w:left="135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Negoz</w:t>
            </w:r>
            <w:proofErr w:type="spellEnd"/>
            <w:r>
              <w:rPr>
                <w:rFonts w:cs="Times New Roman"/>
              </w:rPr>
              <w:t>. art. 63, previa consultazione 15 OE</w:t>
            </w:r>
          </w:p>
          <w:p w14:paraId="72259F19" w14:textId="77777777" w:rsidR="008C29CC" w:rsidRDefault="008C29CC" w:rsidP="009E0546">
            <w:pPr>
              <w:pStyle w:val="Standard"/>
              <w:rPr>
                <w:rFonts w:cs="Times New Roman"/>
              </w:rPr>
            </w:pPr>
          </w:p>
          <w:p w14:paraId="2855752C" w14:textId="77777777" w:rsidR="008C29CC" w:rsidRDefault="008C29CC" w:rsidP="009E0546">
            <w:pPr>
              <w:pStyle w:val="Standard"/>
              <w:rPr>
                <w:rFonts w:cs="Times New Roman"/>
              </w:rPr>
            </w:pPr>
          </w:p>
          <w:p w14:paraId="717CF2D2" w14:textId="77777777" w:rsidR="008C29CC" w:rsidRDefault="008C29CC" w:rsidP="009E0546">
            <w:pPr>
              <w:pStyle w:val="Standard"/>
              <w:tabs>
                <w:tab w:val="left" w:pos="3053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10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7C5A53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aggiudicazione entro 4 mesi</w:t>
            </w:r>
          </w:p>
          <w:p w14:paraId="7AA1FBB0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pubblicaz</w:t>
            </w:r>
            <w:proofErr w:type="spellEnd"/>
            <w:r>
              <w:rPr>
                <w:rFonts w:cs="Times New Roman"/>
              </w:rPr>
              <w:t xml:space="preserve">. su sito avviso di gara e avviso </w:t>
            </w:r>
            <w:proofErr w:type="spellStart"/>
            <w:r>
              <w:rPr>
                <w:rFonts w:cs="Times New Roman"/>
              </w:rPr>
              <w:t>aggiugicaz</w:t>
            </w:r>
            <w:proofErr w:type="spellEnd"/>
            <w:r>
              <w:rPr>
                <w:rFonts w:cs="Times New Roman"/>
              </w:rPr>
              <w:t>.  con indicazione OE invitati</w:t>
            </w:r>
          </w:p>
          <w:p w14:paraId="33419177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rotazione e diversa territorialità OE invitati</w:t>
            </w:r>
          </w:p>
          <w:p w14:paraId="757645E3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attenzione scelta criteri aggiudicazione</w:t>
            </w:r>
          </w:p>
          <w:p w14:paraId="5564167E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facoltà no cauzione provvisoria; se richiesta, è all’1%</w:t>
            </w:r>
          </w:p>
          <w:p w14:paraId="7BBFB184" w14:textId="77777777" w:rsidR="008C29CC" w:rsidRDefault="008C29CC" w:rsidP="009E0546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per PB,  obbligo esclusione automatica se offerte ammesse ≥ 5</w:t>
            </w:r>
          </w:p>
        </w:tc>
      </w:tr>
    </w:tbl>
    <w:p w14:paraId="3E95F652" w14:textId="77777777" w:rsidR="007F685C" w:rsidRDefault="007F685C" w:rsidP="008C29CC">
      <w:pPr>
        <w:pStyle w:val="Standard"/>
        <w:rPr>
          <w:rFonts w:cs="Times New Roman"/>
        </w:rPr>
      </w:pPr>
    </w:p>
    <w:tbl>
      <w:tblPr>
        <w:tblpPr w:leftFromText="141" w:rightFromText="141" w:vertAnchor="text" w:horzAnchor="page" w:tblpX="656" w:tblpY="158"/>
        <w:tblOverlap w:val="never"/>
        <w:tblW w:w="203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8"/>
        <w:gridCol w:w="5128"/>
        <w:gridCol w:w="8977"/>
      </w:tblGrid>
      <w:tr w:rsidR="008C29CC" w14:paraId="1D07BBAD" w14:textId="77777777" w:rsidTr="007F685C">
        <w:trPr>
          <w:trHeight w:val="860"/>
        </w:trPr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6A7EB" w14:textId="77777777" w:rsidR="008C29CC" w:rsidRDefault="008C29CC" w:rsidP="008C29C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lastRenderedPageBreak/>
              <w:t>Affidamento sopra soglia (art. 2)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4D1DD" w14:textId="77777777" w:rsidR="008C29CC" w:rsidRDefault="008C29CC" w:rsidP="008C29C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Procedura fino al 31.12.2021</w:t>
            </w:r>
          </w:p>
        </w:tc>
        <w:tc>
          <w:tcPr>
            <w:tcW w:w="8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3EFEB" w14:textId="77777777" w:rsidR="008C29CC" w:rsidRDefault="008C29CC" w:rsidP="008C29C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note</w:t>
            </w:r>
          </w:p>
        </w:tc>
      </w:tr>
      <w:tr w:rsidR="008C29CC" w14:paraId="050C0EAB" w14:textId="77777777" w:rsidTr="007F685C">
        <w:trPr>
          <w:trHeight w:val="1402"/>
        </w:trPr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7A341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Lavori/servizi/forniture/servizi ingegneria, architettura e progettazione ≥ soglie (co. 2)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ED26D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Aperta art. 60</w:t>
            </w:r>
          </w:p>
          <w:p w14:paraId="39DB62F5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Ristretta art. 61</w:t>
            </w:r>
          </w:p>
          <w:p w14:paraId="30703629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Previa motivazione, competitiva con negoziazione art. 61-62</w:t>
            </w:r>
          </w:p>
          <w:p w14:paraId="5BDA7E9C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Dialogo competitivo art 64</w:t>
            </w:r>
          </w:p>
          <w:p w14:paraId="68381DF5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Anche settori speciali art. 123-124</w:t>
            </w:r>
          </w:p>
        </w:tc>
        <w:tc>
          <w:tcPr>
            <w:tcW w:w="8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22070" w14:textId="77777777" w:rsidR="008C29CC" w:rsidRDefault="008C29CC" w:rsidP="008C29CC">
            <w:pPr>
              <w:pStyle w:val="Paragrafoelenco"/>
              <w:numPr>
                <w:ilvl w:val="0"/>
                <w:numId w:val="2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aggiudicazione entro 6 mesi</w:t>
            </w:r>
          </w:p>
          <w:p w14:paraId="3D0339C3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si applica riduzione termini per urgenza, senza motivazione nella determina contrarre</w:t>
            </w:r>
          </w:p>
          <w:p w14:paraId="3FCBB5D9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RUP deve validare ogni fase progettuale e della esecuzione</w:t>
            </w:r>
          </w:p>
        </w:tc>
      </w:tr>
      <w:tr w:rsidR="008C29CC" w14:paraId="2C02488A" w14:textId="77777777" w:rsidTr="007F685C">
        <w:trPr>
          <w:trHeight w:val="1402"/>
        </w:trPr>
        <w:tc>
          <w:tcPr>
            <w:tcW w:w="6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884" w14:textId="77777777" w:rsidR="008C29CC" w:rsidRDefault="008C29CC" w:rsidP="008C29CC">
            <w:pPr>
              <w:pStyle w:val="Standard"/>
              <w:ind w:left="135"/>
            </w:pPr>
            <w:r>
              <w:rPr>
                <w:rFonts w:cs="Times New Roman"/>
              </w:rPr>
              <w:t>Lavori/servizi/forniture/servizi ingegneria, architettura e progettazione ≥ soglie (co. 3)</w:t>
            </w:r>
          </w:p>
        </w:tc>
        <w:tc>
          <w:tcPr>
            <w:tcW w:w="5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F81BD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Negoz</w:t>
            </w:r>
            <w:proofErr w:type="spellEnd"/>
            <w:r>
              <w:rPr>
                <w:rFonts w:cs="Times New Roman"/>
              </w:rPr>
              <w:t>. art. 63</w:t>
            </w:r>
          </w:p>
          <w:p w14:paraId="26411BEF" w14:textId="77777777" w:rsidR="008C29CC" w:rsidRDefault="008C29CC" w:rsidP="008C29CC">
            <w:pPr>
              <w:pStyle w:val="Standard"/>
              <w:ind w:left="135"/>
              <w:rPr>
                <w:rFonts w:cs="Times New Roman"/>
              </w:rPr>
            </w:pPr>
            <w:r>
              <w:rPr>
                <w:rFonts w:cs="Times New Roman"/>
              </w:rPr>
              <w:t>Anche settori speciali art. 125</w:t>
            </w:r>
          </w:p>
        </w:tc>
        <w:tc>
          <w:tcPr>
            <w:tcW w:w="8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9656F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aggiudicazione entro 6 mesi</w:t>
            </w:r>
          </w:p>
          <w:p w14:paraId="71152358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previa </w:t>
            </w:r>
            <w:proofErr w:type="spellStart"/>
            <w:r>
              <w:rPr>
                <w:rFonts w:cs="Times New Roman"/>
              </w:rPr>
              <w:t>pubblicaz</w:t>
            </w:r>
            <w:proofErr w:type="spellEnd"/>
            <w:r>
              <w:rPr>
                <w:rFonts w:cs="Times New Roman"/>
              </w:rPr>
              <w:t>. su sito avviso di gara, dando motivazione della urgenza a procedere</w:t>
            </w:r>
          </w:p>
          <w:p w14:paraId="52F9E6DF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si</w:t>
            </w:r>
            <w:proofErr w:type="spellEnd"/>
            <w:r>
              <w:rPr>
                <w:rFonts w:cs="Times New Roman"/>
              </w:rPr>
              <w:t xml:space="preserve"> rotazione</w:t>
            </w:r>
          </w:p>
          <w:p w14:paraId="581AD53F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nei casi di urgenza e in alcuni settori sensibili (es. sanità, giustizia, edilizia scolastica), deroga a norme tranne quelle penali e degli appalti</w:t>
            </w:r>
          </w:p>
          <w:p w14:paraId="1873C2BB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RUP deve motivatamente validare ogni fase progettuale e della esecuzione</w:t>
            </w:r>
          </w:p>
        </w:tc>
      </w:tr>
    </w:tbl>
    <w:p w14:paraId="0A9A34F5" w14:textId="77777777" w:rsidR="008C29CC" w:rsidRDefault="008C29CC" w:rsidP="008C29CC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textWrapping" w:clear="all"/>
      </w:r>
    </w:p>
    <w:tbl>
      <w:tblPr>
        <w:tblpPr w:leftFromText="141" w:rightFromText="141" w:vertAnchor="text" w:horzAnchor="page" w:tblpX="618" w:tblpY="288"/>
        <w:tblW w:w="20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48"/>
        <w:gridCol w:w="4978"/>
        <w:gridCol w:w="9035"/>
      </w:tblGrid>
      <w:tr w:rsidR="008C29CC" w14:paraId="7697DAB6" w14:textId="77777777" w:rsidTr="007F685C">
        <w:trPr>
          <w:trHeight w:val="384"/>
        </w:trPr>
        <w:tc>
          <w:tcPr>
            <w:tcW w:w="6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8543A" w14:textId="77777777" w:rsidR="008C29CC" w:rsidRDefault="008C29CC" w:rsidP="008C29C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Verifiche antimafia e di legalità (art. 3)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402B2" w14:textId="77777777" w:rsidR="008C29CC" w:rsidRDefault="008C29CC" w:rsidP="008C29C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Procedura  </w:t>
            </w:r>
          </w:p>
        </w:tc>
        <w:tc>
          <w:tcPr>
            <w:tcW w:w="9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765" w14:textId="77777777" w:rsidR="008C29CC" w:rsidRDefault="008C29CC" w:rsidP="008C29CC">
            <w:pPr>
              <w:pStyle w:val="Standard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note</w:t>
            </w:r>
          </w:p>
        </w:tc>
      </w:tr>
      <w:tr w:rsidR="008C29CC" w14:paraId="176FF5B1" w14:textId="77777777" w:rsidTr="007F685C">
        <w:trPr>
          <w:trHeight w:val="626"/>
        </w:trPr>
        <w:tc>
          <w:tcPr>
            <w:tcW w:w="6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AE5CF9" w14:textId="77777777" w:rsidR="008C29CC" w:rsidRDefault="008C29CC" w:rsidP="008C29CC">
            <w:pPr>
              <w:pStyle w:val="Standard"/>
              <w:ind w:left="13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Affidamento lavori/servizi/forniture (co. 2)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182D0" w14:textId="77777777" w:rsidR="008C29CC" w:rsidRDefault="008C29CC" w:rsidP="008C29CC">
            <w:pPr>
              <w:pStyle w:val="Standard"/>
              <w:ind w:left="13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Fino al 31.12.2021, rilascio informativa liberatoria provvisoria, immediatamente conseguente alla consultazione della Banca dati</w:t>
            </w:r>
          </w:p>
          <w:p w14:paraId="5C7454E8" w14:textId="77777777" w:rsidR="008C29CC" w:rsidRDefault="008C29CC" w:rsidP="008C29CC">
            <w:pPr>
              <w:pStyle w:val="Standard"/>
              <w:ind w:left="135"/>
              <w:jc w:val="both"/>
              <w:rPr>
                <w:rFonts w:cs="Times New Roman"/>
              </w:rPr>
            </w:pPr>
          </w:p>
        </w:tc>
        <w:tc>
          <w:tcPr>
            <w:tcW w:w="9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1EF8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possibilità stipulare il contratto, sotto condizione risolutiva, fermo restando le verifiche da svolgersi entro 60 gg.</w:t>
            </w:r>
          </w:p>
          <w:p w14:paraId="31B3165E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possibilità di avvalersi anche di altre (non specificate) banche dati per le verifiche antimafia</w:t>
            </w:r>
          </w:p>
          <w:p w14:paraId="3E6DDACE" w14:textId="77777777" w:rsidR="008C29CC" w:rsidRDefault="008C29CC" w:rsidP="008C29CC">
            <w:pPr>
              <w:pStyle w:val="Paragrafoelenco"/>
              <w:ind w:left="495"/>
              <w:jc w:val="both"/>
              <w:rPr>
                <w:rFonts w:cs="Times New Roman"/>
              </w:rPr>
            </w:pPr>
          </w:p>
        </w:tc>
      </w:tr>
      <w:tr w:rsidR="008C29CC" w14:paraId="0E32B166" w14:textId="77777777" w:rsidTr="007F685C">
        <w:trPr>
          <w:trHeight w:val="626"/>
        </w:trPr>
        <w:tc>
          <w:tcPr>
            <w:tcW w:w="6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14D82" w14:textId="77777777" w:rsidR="008C29CC" w:rsidRDefault="008C29CC" w:rsidP="008C29CC">
            <w:pPr>
              <w:pStyle w:val="Standard"/>
              <w:ind w:left="13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Protocolli di legalità (co. 7)</w:t>
            </w:r>
          </w:p>
        </w:tc>
        <w:tc>
          <w:tcPr>
            <w:tcW w:w="4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755A3" w14:textId="77777777" w:rsidR="008C29CC" w:rsidRDefault="008C29CC" w:rsidP="008C29CC">
            <w:pPr>
              <w:pStyle w:val="Standard"/>
              <w:ind w:left="135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Sottoscrizione protocolli tra Ministero Interno, associazioni di categoria, imprese strategiche, organizzazioni sindacali</w:t>
            </w:r>
          </w:p>
          <w:p w14:paraId="281D06CA" w14:textId="77777777" w:rsidR="008C29CC" w:rsidRDefault="008C29CC" w:rsidP="008C29CC">
            <w:pPr>
              <w:pStyle w:val="Standard"/>
              <w:ind w:left="135"/>
              <w:jc w:val="both"/>
              <w:rPr>
                <w:rFonts w:cs="Times New Roman"/>
              </w:rPr>
            </w:pPr>
          </w:p>
        </w:tc>
        <w:tc>
          <w:tcPr>
            <w:tcW w:w="9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A2C2D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rilascio documentazione antimafia anche a richiesta di privati</w:t>
            </w:r>
          </w:p>
          <w:p w14:paraId="419DAE69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estensione ricorso alla documentazione antimafia anche nei rapporti tra privati, o nei rapporti tra associazioni di categoria e privati</w:t>
            </w:r>
          </w:p>
          <w:p w14:paraId="5938D9EB" w14:textId="77777777" w:rsidR="008C29CC" w:rsidRDefault="008C29CC" w:rsidP="008C29CC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equivale al rilascio della informativa antimafia l’iscrizione alla “white list” e all’anagrafe degli esecutori per gli interventi di ricostruzione nei territori colpiti dal sisma del centro Italia</w:t>
            </w:r>
          </w:p>
          <w:p w14:paraId="750CFC29" w14:textId="77777777" w:rsidR="008C29CC" w:rsidRDefault="008C29CC" w:rsidP="008C29CC">
            <w:pPr>
              <w:pStyle w:val="Paragrafoelenco"/>
              <w:ind w:left="495"/>
              <w:jc w:val="both"/>
              <w:rPr>
                <w:rFonts w:cs="Times New Roman"/>
              </w:rPr>
            </w:pPr>
          </w:p>
        </w:tc>
      </w:tr>
    </w:tbl>
    <w:p w14:paraId="58EE4B1B" w14:textId="77777777" w:rsidR="008C29CC" w:rsidRDefault="008C29CC" w:rsidP="008C29CC">
      <w:pPr>
        <w:pStyle w:val="Standard"/>
        <w:rPr>
          <w:rFonts w:cs="Times New Roman"/>
          <w:b/>
          <w:bCs/>
        </w:rPr>
      </w:pPr>
    </w:p>
    <w:p w14:paraId="48C43C2D" w14:textId="77777777" w:rsidR="008C29CC" w:rsidRDefault="008C29CC" w:rsidP="008C29CC">
      <w:pPr>
        <w:pStyle w:val="Standard"/>
        <w:rPr>
          <w:rFonts w:cs="Times New Roman"/>
          <w:b/>
          <w:bCs/>
        </w:rPr>
      </w:pPr>
    </w:p>
    <w:p w14:paraId="2B455D5F" w14:textId="77777777" w:rsidR="008C29CC" w:rsidRDefault="008C29CC" w:rsidP="008C29CC">
      <w:pPr>
        <w:pStyle w:val="Standard"/>
        <w:rPr>
          <w:rFonts w:cs="Times New Roman"/>
          <w:b/>
          <w:bCs/>
        </w:rPr>
      </w:pPr>
    </w:p>
    <w:p w14:paraId="1F1BC2E1" w14:textId="77777777" w:rsidR="008C29CC" w:rsidRDefault="008C29CC" w:rsidP="008C29CC">
      <w:pPr>
        <w:pStyle w:val="Standard"/>
        <w:rPr>
          <w:rFonts w:cs="Times New Roman"/>
        </w:rPr>
      </w:pPr>
    </w:p>
    <w:p w14:paraId="07100284" w14:textId="77777777" w:rsidR="008C29CC" w:rsidRDefault="008C29CC" w:rsidP="008C29CC">
      <w:pPr>
        <w:pStyle w:val="Standard"/>
        <w:rPr>
          <w:rFonts w:cs="Times New Roman"/>
        </w:rPr>
      </w:pPr>
    </w:p>
    <w:p w14:paraId="78EA91BE" w14:textId="77777777" w:rsidR="008C29CC" w:rsidRDefault="008C29CC" w:rsidP="008C29CC">
      <w:pPr>
        <w:pStyle w:val="Standard"/>
        <w:rPr>
          <w:rFonts w:cs="Times New Roman"/>
        </w:rPr>
      </w:pPr>
    </w:p>
    <w:p w14:paraId="59E62480" w14:textId="77777777" w:rsidR="008C29CC" w:rsidRDefault="008C29CC" w:rsidP="008C29CC">
      <w:pPr>
        <w:pStyle w:val="Standard"/>
        <w:rPr>
          <w:rFonts w:cs="Times New Roman"/>
        </w:rPr>
      </w:pPr>
    </w:p>
    <w:p w14:paraId="59F45148" w14:textId="77777777" w:rsidR="00386B63" w:rsidRDefault="00386B63"/>
    <w:sectPr w:rsidR="00386B63" w:rsidSect="007F685C">
      <w:pgSz w:w="23811" w:h="16838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D222B"/>
    <w:multiLevelType w:val="multilevel"/>
    <w:tmpl w:val="EE0E4DA2"/>
    <w:styleLink w:val="WWNum2"/>
    <w:lvl w:ilvl="0">
      <w:numFmt w:val="bullet"/>
      <w:lvlText w:val="-"/>
      <w:lvlJc w:val="left"/>
      <w:pPr>
        <w:ind w:left="495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5" w:hanging="360"/>
      </w:pPr>
      <w:rPr>
        <w:rFonts w:ascii="Wingdings" w:hAnsi="Wingdings"/>
      </w:rPr>
    </w:lvl>
  </w:abstractNum>
  <w:abstractNum w:abstractNumId="1" w15:restartNumberingAfterBreak="0">
    <w:nsid w:val="62801A93"/>
    <w:multiLevelType w:val="multilevel"/>
    <w:tmpl w:val="57C0CBB4"/>
    <w:styleLink w:val="WWNum1"/>
    <w:lvl w:ilvl="0">
      <w:numFmt w:val="bullet"/>
      <w:lvlText w:val="-"/>
      <w:lvlJc w:val="left"/>
      <w:pPr>
        <w:ind w:left="495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2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5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CC"/>
    <w:rsid w:val="00386B63"/>
    <w:rsid w:val="00461251"/>
    <w:rsid w:val="007F685C"/>
    <w:rsid w:val="008C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C5BD"/>
  <w15:chartTrackingRefBased/>
  <w15:docId w15:val="{E67050C0-3568-4087-A250-909371C5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29CC"/>
    <w:pPr>
      <w:widowControl w:val="0"/>
      <w:suppressAutoHyphens/>
      <w:autoSpaceDN w:val="0"/>
      <w:spacing w:line="25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C29CC"/>
    <w:pPr>
      <w:suppressAutoHyphens/>
      <w:autoSpaceDN w:val="0"/>
      <w:spacing w:line="25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8C29CC"/>
    <w:pPr>
      <w:ind w:left="720"/>
    </w:pPr>
  </w:style>
  <w:style w:type="numbering" w:customStyle="1" w:styleId="WWNum1">
    <w:name w:val="WWNum1"/>
    <w:basedOn w:val="Nessunelenco"/>
    <w:rsid w:val="008C29CC"/>
    <w:pPr>
      <w:numPr>
        <w:numId w:val="1"/>
      </w:numPr>
    </w:pPr>
  </w:style>
  <w:style w:type="numbering" w:customStyle="1" w:styleId="WWNum2">
    <w:name w:val="WWNum2"/>
    <w:basedOn w:val="Nessunelenco"/>
    <w:rsid w:val="008C29C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Amoruso</dc:creator>
  <cp:keywords/>
  <dc:description/>
  <cp:lastModifiedBy>Barbara Amoruso</cp:lastModifiedBy>
  <cp:revision>2</cp:revision>
  <dcterms:created xsi:type="dcterms:W3CDTF">2020-09-28T12:57:00Z</dcterms:created>
  <dcterms:modified xsi:type="dcterms:W3CDTF">2020-09-28T13:36:00Z</dcterms:modified>
</cp:coreProperties>
</file>